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803"/>
        <w:gridCol w:w="10906"/>
      </w:tblGrid>
      <w:tr w:rsidR="00215C1E" w:rsidTr="00653515">
        <w:trPr>
          <w:trHeight w:val="455"/>
        </w:trPr>
        <w:tc>
          <w:tcPr>
            <w:tcW w:w="3803" w:type="dxa"/>
          </w:tcPr>
          <w:p w:rsidR="00215C1E" w:rsidRPr="0047001E" w:rsidRDefault="0047001E" w:rsidP="0047001E">
            <w:pPr>
              <w:jc w:val="center"/>
              <w:rPr>
                <w:b/>
                <w:sz w:val="28"/>
              </w:rPr>
            </w:pPr>
            <w:r w:rsidRPr="0047001E">
              <w:rPr>
                <w:b/>
                <w:sz w:val="28"/>
              </w:rPr>
              <w:t>Вопросы</w:t>
            </w:r>
          </w:p>
        </w:tc>
        <w:tc>
          <w:tcPr>
            <w:tcW w:w="10906" w:type="dxa"/>
          </w:tcPr>
          <w:p w:rsidR="00215C1E" w:rsidRPr="0047001E" w:rsidRDefault="0047001E" w:rsidP="0047001E">
            <w:pPr>
              <w:jc w:val="center"/>
              <w:rPr>
                <w:b/>
                <w:sz w:val="28"/>
              </w:rPr>
            </w:pPr>
            <w:r w:rsidRPr="0047001E">
              <w:rPr>
                <w:b/>
                <w:sz w:val="28"/>
              </w:rPr>
              <w:t>Ответы</w:t>
            </w:r>
          </w:p>
        </w:tc>
      </w:tr>
      <w:tr w:rsidR="00215C1E" w:rsidRPr="007F09AF" w:rsidTr="00653515">
        <w:trPr>
          <w:trHeight w:val="1309"/>
        </w:trPr>
        <w:tc>
          <w:tcPr>
            <w:tcW w:w="3803" w:type="dxa"/>
          </w:tcPr>
          <w:p w:rsidR="00215C1E" w:rsidRPr="007F09AF" w:rsidRDefault="0028223A" w:rsidP="00BC41EE">
            <w:pPr>
              <w:shd w:val="clear" w:color="auto" w:fill="FFFFFF"/>
              <w:spacing w:before="60" w:after="60" w:line="276" w:lineRule="auto"/>
              <w:rPr>
                <w:sz w:val="28"/>
                <w:szCs w:val="28"/>
              </w:rPr>
            </w:pPr>
            <w:hyperlink r:id="rId6" w:anchor="2" w:history="1">
              <w:r w:rsidR="00206D09" w:rsidRPr="007F09AF">
                <w:rPr>
                  <w:sz w:val="28"/>
                  <w:szCs w:val="28"/>
                </w:rPr>
                <w:t>На какой срок заключается договор аренды?</w:t>
              </w:r>
            </w:hyperlink>
          </w:p>
        </w:tc>
        <w:tc>
          <w:tcPr>
            <w:tcW w:w="10906" w:type="dxa"/>
          </w:tcPr>
          <w:p w:rsidR="00215C1E" w:rsidRPr="007F09AF" w:rsidRDefault="00206D09" w:rsidP="007F09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09AF">
              <w:rPr>
                <w:sz w:val="28"/>
                <w:szCs w:val="28"/>
              </w:rPr>
              <w:t>Договор аренды может быть заключен на срок  36 месяцев. Краткосрочные договоры могут быть заключены только по согласованию сторон</w:t>
            </w:r>
          </w:p>
          <w:p w:rsidR="00B86751" w:rsidRPr="007F09AF" w:rsidRDefault="00B86751" w:rsidP="007F09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53515" w:rsidRPr="007F09AF" w:rsidTr="00653515">
        <w:trPr>
          <w:trHeight w:val="1309"/>
        </w:trPr>
        <w:tc>
          <w:tcPr>
            <w:tcW w:w="3803" w:type="dxa"/>
          </w:tcPr>
          <w:p w:rsidR="00653515" w:rsidRPr="00653515" w:rsidRDefault="0028223A" w:rsidP="00653515">
            <w:pPr>
              <w:shd w:val="clear" w:color="auto" w:fill="FFFFFF"/>
              <w:spacing w:before="60" w:after="60" w:line="276" w:lineRule="auto"/>
              <w:rPr>
                <w:rStyle w:val="ac"/>
                <w:i w:val="0"/>
                <w:color w:val="auto"/>
                <w:sz w:val="28"/>
                <w:szCs w:val="28"/>
              </w:rPr>
            </w:pPr>
            <w:hyperlink r:id="rId7" w:anchor="15" w:history="1">
              <w:r w:rsidR="00653515" w:rsidRPr="00653515">
                <w:rPr>
                  <w:rStyle w:val="ac"/>
                  <w:i w:val="0"/>
                  <w:color w:val="auto"/>
                  <w:sz w:val="28"/>
                  <w:szCs w:val="28"/>
                </w:rPr>
                <w:t>Есть ли обеспечительный платеж, и скольким месяцам аренды он равен?</w:t>
              </w:r>
            </w:hyperlink>
          </w:p>
          <w:p w:rsidR="00653515" w:rsidRDefault="00653515" w:rsidP="00BC41EE">
            <w:pPr>
              <w:shd w:val="clear" w:color="auto" w:fill="FFFFFF"/>
              <w:spacing w:before="60" w:after="60" w:line="276" w:lineRule="auto"/>
            </w:pPr>
          </w:p>
        </w:tc>
        <w:tc>
          <w:tcPr>
            <w:tcW w:w="10906" w:type="dxa"/>
          </w:tcPr>
          <w:p w:rsidR="00653515" w:rsidRPr="007F09AF" w:rsidRDefault="00653515" w:rsidP="007F09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Обеспечительный платеж есть для всех типов помещений. Он равен одному календарному месяцу аренды.</w:t>
            </w:r>
          </w:p>
        </w:tc>
      </w:tr>
      <w:tr w:rsidR="00215C1E" w:rsidRPr="007F09AF" w:rsidTr="00653515">
        <w:trPr>
          <w:trHeight w:val="1552"/>
        </w:trPr>
        <w:tc>
          <w:tcPr>
            <w:tcW w:w="3803" w:type="dxa"/>
          </w:tcPr>
          <w:p w:rsidR="00215C1E" w:rsidRPr="007F09AF" w:rsidRDefault="0055624B" w:rsidP="007F09AF">
            <w:pPr>
              <w:pStyle w:val="a4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F09AF">
              <w:rPr>
                <w:b w:val="0"/>
                <w:sz w:val="28"/>
                <w:szCs w:val="28"/>
                <w:lang w:val="ru-RU"/>
              </w:rPr>
              <w:t xml:space="preserve">Есть ли какие-то дополнительные </w:t>
            </w:r>
            <w:r w:rsidR="00505C2D" w:rsidRPr="007F09AF">
              <w:rPr>
                <w:b w:val="0"/>
                <w:sz w:val="28"/>
                <w:szCs w:val="28"/>
                <w:lang w:val="ru-RU"/>
              </w:rPr>
              <w:t xml:space="preserve">расходы </w:t>
            </w:r>
            <w:r w:rsidRPr="007F09AF">
              <w:rPr>
                <w:b w:val="0"/>
                <w:sz w:val="28"/>
                <w:szCs w:val="28"/>
                <w:lang w:val="ru-RU"/>
              </w:rPr>
              <w:t>(кроме арен</w:t>
            </w:r>
            <w:r w:rsidR="000215E3" w:rsidRPr="007F09AF">
              <w:rPr>
                <w:b w:val="0"/>
                <w:sz w:val="28"/>
                <w:szCs w:val="28"/>
                <w:lang w:val="ru-RU"/>
              </w:rPr>
              <w:t xml:space="preserve">ды и </w:t>
            </w:r>
            <w:r w:rsidR="000215E3" w:rsidRPr="0028223A">
              <w:rPr>
                <w:b w:val="0"/>
                <w:sz w:val="28"/>
                <w:szCs w:val="28"/>
                <w:lang w:val="ru-RU"/>
              </w:rPr>
              <w:t>коммунальных</w:t>
            </w:r>
            <w:r w:rsidR="00653515" w:rsidRPr="0028223A">
              <w:rPr>
                <w:b w:val="0"/>
                <w:sz w:val="28"/>
                <w:szCs w:val="28"/>
                <w:lang w:val="ru-RU"/>
              </w:rPr>
              <w:t xml:space="preserve"> платежей</w:t>
            </w:r>
            <w:r w:rsidR="000215E3" w:rsidRPr="0028223A">
              <w:rPr>
                <w:b w:val="0"/>
                <w:sz w:val="28"/>
                <w:szCs w:val="28"/>
                <w:lang w:val="ru-RU"/>
              </w:rPr>
              <w:t>)</w:t>
            </w:r>
            <w:r w:rsidR="000215E3" w:rsidRPr="007F09AF">
              <w:rPr>
                <w:b w:val="0"/>
                <w:sz w:val="28"/>
                <w:szCs w:val="28"/>
                <w:lang w:val="ru-RU"/>
              </w:rPr>
              <w:t xml:space="preserve"> для А</w:t>
            </w:r>
            <w:r w:rsidRPr="007F09AF">
              <w:rPr>
                <w:b w:val="0"/>
                <w:sz w:val="28"/>
                <w:szCs w:val="28"/>
                <w:lang w:val="ru-RU"/>
              </w:rPr>
              <w:t xml:space="preserve">рендаторов по содержанию </w:t>
            </w:r>
            <w:r w:rsidR="00206D09" w:rsidRPr="007F09AF">
              <w:rPr>
                <w:b w:val="0"/>
                <w:sz w:val="28"/>
                <w:szCs w:val="28"/>
                <w:lang w:val="ru-RU"/>
              </w:rPr>
              <w:t>помещений</w:t>
            </w:r>
            <w:r w:rsidRPr="007F09AF">
              <w:rPr>
                <w:b w:val="0"/>
                <w:sz w:val="28"/>
                <w:szCs w:val="28"/>
                <w:lang w:val="ru-RU"/>
              </w:rPr>
              <w:t xml:space="preserve">? </w:t>
            </w:r>
          </w:p>
        </w:tc>
        <w:tc>
          <w:tcPr>
            <w:tcW w:w="10906" w:type="dxa"/>
          </w:tcPr>
          <w:p w:rsidR="00B51E9F" w:rsidRPr="007F09AF" w:rsidRDefault="0055624B" w:rsidP="007F09A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9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1E9F" w:rsidRPr="007F09AF">
              <w:rPr>
                <w:rFonts w:ascii="Times New Roman" w:hAnsi="Times New Roman" w:cs="Times New Roman"/>
                <w:sz w:val="28"/>
                <w:szCs w:val="28"/>
              </w:rPr>
              <w:t>рендная плата</w:t>
            </w:r>
            <w:r w:rsidR="0065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E9F" w:rsidRPr="007F09AF">
              <w:rPr>
                <w:rFonts w:ascii="Times New Roman" w:hAnsi="Times New Roman" w:cs="Times New Roman"/>
                <w:sz w:val="28"/>
                <w:szCs w:val="28"/>
              </w:rPr>
              <w:t>включает в себя:</w:t>
            </w:r>
          </w:p>
          <w:p w:rsidR="00657CED" w:rsidRPr="007F09AF" w:rsidRDefault="00B51E9F" w:rsidP="007F09AF">
            <w:pPr>
              <w:pStyle w:val="a8"/>
              <w:spacing w:line="276" w:lineRule="auto"/>
              <w:ind w:left="0"/>
              <w:rPr>
                <w:sz w:val="28"/>
                <w:szCs w:val="28"/>
              </w:rPr>
            </w:pPr>
            <w:proofErr w:type="gramStart"/>
            <w:r w:rsidRPr="007F09AF">
              <w:rPr>
                <w:sz w:val="28"/>
                <w:szCs w:val="28"/>
              </w:rPr>
              <w:t>- обслуживание внутренних инженерных систем (электросети, водоснабжение, водоотведение, теплоснабжение, вентиляция, кондиционирование, противопожарные с</w:t>
            </w:r>
            <w:r w:rsidR="00657CED" w:rsidRPr="007F09AF">
              <w:rPr>
                <w:sz w:val="28"/>
                <w:szCs w:val="28"/>
              </w:rPr>
              <w:t>истемы, аварийное обслуживание)</w:t>
            </w:r>
            <w:r w:rsidR="009739B0" w:rsidRPr="007F09AF">
              <w:rPr>
                <w:sz w:val="28"/>
                <w:szCs w:val="28"/>
              </w:rPr>
              <w:t>;</w:t>
            </w:r>
            <w:proofErr w:type="gramEnd"/>
          </w:p>
          <w:p w:rsidR="00657CED" w:rsidRPr="007F09AF" w:rsidRDefault="00657CED" w:rsidP="007F09AF">
            <w:pPr>
              <w:pStyle w:val="a8"/>
              <w:spacing w:line="276" w:lineRule="auto"/>
              <w:ind w:left="0"/>
              <w:rPr>
                <w:sz w:val="28"/>
                <w:szCs w:val="28"/>
              </w:rPr>
            </w:pPr>
            <w:r w:rsidRPr="007F09AF">
              <w:rPr>
                <w:sz w:val="28"/>
                <w:szCs w:val="28"/>
              </w:rPr>
              <w:t>- обслуживание внешних инженерных сетей</w:t>
            </w:r>
            <w:r w:rsidR="009739B0" w:rsidRPr="007F09AF">
              <w:rPr>
                <w:sz w:val="28"/>
                <w:szCs w:val="28"/>
              </w:rPr>
              <w:t>;</w:t>
            </w:r>
          </w:p>
          <w:p w:rsidR="00B51E9F" w:rsidRPr="007F09AF" w:rsidRDefault="00B51E9F" w:rsidP="007F09AF">
            <w:pPr>
              <w:pStyle w:val="a8"/>
              <w:spacing w:line="276" w:lineRule="auto"/>
              <w:ind w:left="0"/>
              <w:rPr>
                <w:sz w:val="28"/>
                <w:szCs w:val="28"/>
              </w:rPr>
            </w:pPr>
            <w:r w:rsidRPr="007F09AF">
              <w:rPr>
                <w:sz w:val="28"/>
                <w:szCs w:val="28"/>
              </w:rPr>
              <w:t>- уборка прилегающей территории (озеленение территории, уборка и вывоз мусора (ТБО) и снега с прилегающей к зданию территории</w:t>
            </w:r>
            <w:r w:rsidR="00657CED" w:rsidRPr="007F09AF">
              <w:rPr>
                <w:sz w:val="28"/>
                <w:szCs w:val="28"/>
              </w:rPr>
              <w:t>)</w:t>
            </w:r>
            <w:r w:rsidR="009739B0" w:rsidRPr="007F09AF">
              <w:rPr>
                <w:sz w:val="28"/>
                <w:szCs w:val="28"/>
              </w:rPr>
              <w:t>;</w:t>
            </w:r>
          </w:p>
          <w:p w:rsidR="00B51E9F" w:rsidRPr="007F09AF" w:rsidRDefault="00B51E9F" w:rsidP="007F09AF">
            <w:pPr>
              <w:pStyle w:val="a8"/>
              <w:spacing w:line="276" w:lineRule="auto"/>
              <w:ind w:left="0"/>
              <w:rPr>
                <w:sz w:val="28"/>
                <w:szCs w:val="28"/>
              </w:rPr>
            </w:pPr>
            <w:r w:rsidRPr="007F09AF">
              <w:rPr>
                <w:sz w:val="28"/>
                <w:szCs w:val="28"/>
              </w:rPr>
              <w:t>- у</w:t>
            </w:r>
            <w:r w:rsidR="00657CED" w:rsidRPr="007F09AF">
              <w:rPr>
                <w:sz w:val="28"/>
                <w:szCs w:val="28"/>
              </w:rPr>
              <w:t>борка мест общего пользования</w:t>
            </w:r>
            <w:r w:rsidR="009739B0" w:rsidRPr="007F09AF">
              <w:rPr>
                <w:sz w:val="28"/>
                <w:szCs w:val="28"/>
              </w:rPr>
              <w:t>;</w:t>
            </w:r>
          </w:p>
          <w:p w:rsidR="00B51E9F" w:rsidRPr="007F09AF" w:rsidRDefault="00B51E9F" w:rsidP="007F09AF">
            <w:pPr>
              <w:pStyle w:val="a8"/>
              <w:spacing w:line="276" w:lineRule="auto"/>
              <w:ind w:left="0"/>
              <w:rPr>
                <w:sz w:val="28"/>
                <w:szCs w:val="28"/>
              </w:rPr>
            </w:pPr>
            <w:r w:rsidRPr="007F09AF">
              <w:rPr>
                <w:sz w:val="28"/>
                <w:szCs w:val="28"/>
              </w:rPr>
              <w:t xml:space="preserve">- </w:t>
            </w:r>
            <w:proofErr w:type="spellStart"/>
            <w:r w:rsidRPr="007F09AF">
              <w:rPr>
                <w:sz w:val="28"/>
                <w:szCs w:val="28"/>
              </w:rPr>
              <w:t>мел</w:t>
            </w:r>
            <w:r w:rsidR="00657CED" w:rsidRPr="007F09AF">
              <w:rPr>
                <w:sz w:val="28"/>
                <w:szCs w:val="28"/>
              </w:rPr>
              <w:t>костроительные</w:t>
            </w:r>
            <w:proofErr w:type="spellEnd"/>
            <w:r w:rsidR="00657CED" w:rsidRPr="007F09AF">
              <w:rPr>
                <w:sz w:val="28"/>
                <w:szCs w:val="28"/>
              </w:rPr>
              <w:t xml:space="preserve"> ремонтные работы</w:t>
            </w:r>
            <w:r w:rsidR="00C7678C" w:rsidRPr="007F09AF">
              <w:rPr>
                <w:sz w:val="28"/>
                <w:szCs w:val="28"/>
              </w:rPr>
              <w:t xml:space="preserve"> в местах общего пользования</w:t>
            </w:r>
            <w:r w:rsidR="009739B0" w:rsidRPr="007F09AF">
              <w:rPr>
                <w:sz w:val="28"/>
                <w:szCs w:val="28"/>
              </w:rPr>
              <w:t>;</w:t>
            </w:r>
          </w:p>
          <w:p w:rsidR="00B51E9F" w:rsidRPr="007F09AF" w:rsidRDefault="00B51E9F" w:rsidP="007F09AF">
            <w:pPr>
              <w:pStyle w:val="a8"/>
              <w:spacing w:line="276" w:lineRule="auto"/>
              <w:ind w:left="0"/>
              <w:rPr>
                <w:sz w:val="28"/>
                <w:szCs w:val="28"/>
              </w:rPr>
            </w:pPr>
            <w:r w:rsidRPr="007F09AF">
              <w:rPr>
                <w:sz w:val="28"/>
                <w:szCs w:val="28"/>
              </w:rPr>
              <w:t>- обслуживание ав</w:t>
            </w:r>
            <w:r w:rsidR="00657CED" w:rsidRPr="007F09AF">
              <w:rPr>
                <w:sz w:val="28"/>
                <w:szCs w:val="28"/>
              </w:rPr>
              <w:t>томатических ворот и шлагбаумов</w:t>
            </w:r>
            <w:r w:rsidR="009739B0" w:rsidRPr="007F09AF">
              <w:rPr>
                <w:sz w:val="28"/>
                <w:szCs w:val="28"/>
              </w:rPr>
              <w:t>;</w:t>
            </w:r>
          </w:p>
          <w:p w:rsidR="0055624B" w:rsidRPr="007F09AF" w:rsidRDefault="00C525F7" w:rsidP="007F09A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9AF">
              <w:rPr>
                <w:rFonts w:ascii="Times New Roman" w:hAnsi="Times New Roman" w:cs="Times New Roman"/>
                <w:sz w:val="28"/>
                <w:szCs w:val="28"/>
              </w:rPr>
              <w:t>- пользование лифтами</w:t>
            </w:r>
            <w:r w:rsidR="009739B0" w:rsidRPr="007F09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624B" w:rsidRPr="007F09AF" w:rsidRDefault="0055624B" w:rsidP="007F09A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9AF">
              <w:rPr>
                <w:rFonts w:ascii="Times New Roman" w:hAnsi="Times New Roman" w:cs="Times New Roman"/>
                <w:sz w:val="28"/>
                <w:szCs w:val="28"/>
              </w:rPr>
              <w:t>- круглосуточная охрана здания</w:t>
            </w:r>
            <w:r w:rsidR="009739B0" w:rsidRPr="007F09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624B" w:rsidRPr="007F09AF" w:rsidRDefault="0055624B" w:rsidP="007F09A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9AF">
              <w:rPr>
                <w:rFonts w:ascii="Times New Roman" w:hAnsi="Times New Roman" w:cs="Times New Roman"/>
                <w:sz w:val="28"/>
                <w:szCs w:val="28"/>
              </w:rPr>
              <w:t>- НДС 18%</w:t>
            </w:r>
            <w:r w:rsidR="009739B0" w:rsidRPr="007F0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24B" w:rsidRPr="007F09AF" w:rsidRDefault="0055624B" w:rsidP="007F09A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24B" w:rsidRPr="007F09AF" w:rsidRDefault="0055624B" w:rsidP="007F09A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9AF">
              <w:rPr>
                <w:rFonts w:ascii="Times New Roman" w:hAnsi="Times New Roman" w:cs="Times New Roman"/>
                <w:sz w:val="28"/>
                <w:szCs w:val="28"/>
              </w:rPr>
              <w:t>Арендаторы несут дополнительные расходы:</w:t>
            </w:r>
          </w:p>
          <w:p w:rsidR="0055624B" w:rsidRPr="007F09AF" w:rsidRDefault="0055624B" w:rsidP="007F09A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9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7CED" w:rsidRPr="007F09AF">
              <w:rPr>
                <w:rFonts w:ascii="Times New Roman" w:hAnsi="Times New Roman" w:cs="Times New Roman"/>
                <w:sz w:val="28"/>
                <w:szCs w:val="28"/>
              </w:rPr>
              <w:t>по уборке арендуемого помещения</w:t>
            </w:r>
            <w:r w:rsidR="009739B0" w:rsidRPr="007F09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624B" w:rsidRPr="007F09AF" w:rsidRDefault="0055624B" w:rsidP="007F09A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9AF">
              <w:rPr>
                <w:rFonts w:ascii="Times New Roman" w:hAnsi="Times New Roman" w:cs="Times New Roman"/>
                <w:sz w:val="28"/>
                <w:szCs w:val="28"/>
              </w:rPr>
              <w:t xml:space="preserve">- по оплате коммунальных услуг, потребляемых арендатором </w:t>
            </w:r>
            <w:r w:rsidR="00C7678C" w:rsidRPr="007F09AF">
              <w:rPr>
                <w:rFonts w:ascii="Times New Roman" w:hAnsi="Times New Roman" w:cs="Times New Roman"/>
                <w:sz w:val="28"/>
                <w:szCs w:val="28"/>
              </w:rPr>
              <w:t>(только у арендаторов</w:t>
            </w:r>
            <w:r w:rsidR="00361CD6" w:rsidRPr="007F09AF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</w:t>
            </w:r>
            <w:r w:rsidR="00C7678C" w:rsidRPr="007F09AF">
              <w:rPr>
                <w:rFonts w:ascii="Times New Roman" w:hAnsi="Times New Roman" w:cs="Times New Roman"/>
                <w:sz w:val="28"/>
                <w:szCs w:val="28"/>
              </w:rPr>
              <w:t>х площадей</w:t>
            </w:r>
            <w:r w:rsidR="00361CD6" w:rsidRPr="007F09AF">
              <w:rPr>
                <w:rFonts w:ascii="Times New Roman" w:hAnsi="Times New Roman" w:cs="Times New Roman"/>
                <w:sz w:val="28"/>
                <w:szCs w:val="28"/>
              </w:rPr>
              <w:t>; коммунальные платежи для офисных помещений входят в тариф на аренду)</w:t>
            </w:r>
            <w:r w:rsidR="009739B0" w:rsidRPr="007F09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624B" w:rsidRPr="007F09AF" w:rsidRDefault="0055624B" w:rsidP="007F09AF">
            <w:pPr>
              <w:spacing w:line="276" w:lineRule="auto"/>
              <w:rPr>
                <w:sz w:val="28"/>
                <w:szCs w:val="28"/>
              </w:rPr>
            </w:pPr>
            <w:r w:rsidRPr="007F09AF">
              <w:rPr>
                <w:sz w:val="28"/>
                <w:szCs w:val="28"/>
              </w:rPr>
              <w:lastRenderedPageBreak/>
              <w:t>- по оплате услуг провайдеров интернет и телефонии, на основании закл</w:t>
            </w:r>
            <w:r w:rsidR="00274EA6" w:rsidRPr="007F09AF">
              <w:rPr>
                <w:sz w:val="28"/>
                <w:szCs w:val="28"/>
              </w:rPr>
              <w:t>юченных с ними прямых договоров</w:t>
            </w:r>
            <w:r w:rsidR="009739B0" w:rsidRPr="007F09AF">
              <w:rPr>
                <w:sz w:val="28"/>
                <w:szCs w:val="28"/>
              </w:rPr>
              <w:t>.</w:t>
            </w:r>
          </w:p>
          <w:p w:rsidR="0047001E" w:rsidRPr="007F09AF" w:rsidRDefault="0047001E" w:rsidP="007F09A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15C1E" w:rsidRPr="007F09AF" w:rsidTr="00653515">
        <w:trPr>
          <w:trHeight w:val="1776"/>
        </w:trPr>
        <w:tc>
          <w:tcPr>
            <w:tcW w:w="3803" w:type="dxa"/>
          </w:tcPr>
          <w:p w:rsidR="00215C1E" w:rsidRPr="007F09AF" w:rsidRDefault="0055624B" w:rsidP="007F09AF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7F09AF">
              <w:rPr>
                <w:b w:val="0"/>
                <w:sz w:val="28"/>
                <w:szCs w:val="28"/>
                <w:lang w:val="ru-RU"/>
              </w:rPr>
              <w:lastRenderedPageBreak/>
              <w:t xml:space="preserve">Какова предполагаемая стоимость коммунальных платежей, в расчете на 1 </w:t>
            </w:r>
            <w:proofErr w:type="spellStart"/>
            <w:r w:rsidRPr="007F09AF">
              <w:rPr>
                <w:b w:val="0"/>
                <w:sz w:val="28"/>
                <w:szCs w:val="28"/>
                <w:lang w:val="ru-RU"/>
              </w:rPr>
              <w:t>кв.м</w:t>
            </w:r>
            <w:proofErr w:type="spellEnd"/>
            <w:r w:rsidRPr="007F09AF">
              <w:rPr>
                <w:b w:val="0"/>
                <w:sz w:val="28"/>
                <w:szCs w:val="28"/>
                <w:lang w:val="ru-RU"/>
              </w:rPr>
              <w:t>. в месяц?</w:t>
            </w:r>
          </w:p>
          <w:p w:rsidR="00215C1E" w:rsidRPr="007F09AF" w:rsidRDefault="00215C1E" w:rsidP="007F09A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906" w:type="dxa"/>
          </w:tcPr>
          <w:p w:rsidR="0055624B" w:rsidRPr="007F09AF" w:rsidRDefault="00C7678C" w:rsidP="007F09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9AF">
              <w:rPr>
                <w:rFonts w:ascii="Times New Roman" w:hAnsi="Times New Roman" w:cs="Times New Roman"/>
                <w:sz w:val="28"/>
                <w:szCs w:val="28"/>
              </w:rPr>
              <w:t>Для арендаторов производственных помещений с</w:t>
            </w:r>
            <w:r w:rsidR="0055624B" w:rsidRPr="007F09AF">
              <w:rPr>
                <w:rFonts w:ascii="Times New Roman" w:hAnsi="Times New Roman" w:cs="Times New Roman"/>
                <w:sz w:val="28"/>
                <w:szCs w:val="28"/>
              </w:rPr>
              <w:t>тоим</w:t>
            </w:r>
            <w:r w:rsidR="00FA7639" w:rsidRPr="007F09AF">
              <w:rPr>
                <w:rFonts w:ascii="Times New Roman" w:hAnsi="Times New Roman" w:cs="Times New Roman"/>
                <w:sz w:val="28"/>
                <w:szCs w:val="28"/>
              </w:rPr>
              <w:t xml:space="preserve">ость коммунальных платежей </w:t>
            </w:r>
            <w:r w:rsidR="0055624B" w:rsidRPr="007F09A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на основании действующих в оплачиваемом месяце тарифов организаций - поставщиков жилищно-коммунальных </w:t>
            </w:r>
            <w:r w:rsidR="00C10A9B" w:rsidRPr="007F09AF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55624B" w:rsidRPr="007F09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F09AF">
              <w:rPr>
                <w:rFonts w:ascii="Times New Roman" w:hAnsi="Times New Roman" w:cs="Times New Roman"/>
                <w:sz w:val="28"/>
                <w:szCs w:val="28"/>
              </w:rPr>
              <w:t>Для арендаторов офисных помещений стоимость коммунальных платежей составляет в среднем 65 руб./</w:t>
            </w:r>
            <w:proofErr w:type="spellStart"/>
            <w:r w:rsidRPr="007F09A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F09AF">
              <w:rPr>
                <w:rFonts w:ascii="Times New Roman" w:hAnsi="Times New Roman" w:cs="Times New Roman"/>
                <w:sz w:val="28"/>
                <w:szCs w:val="28"/>
              </w:rPr>
              <w:t>. в месяц</w:t>
            </w:r>
          </w:p>
          <w:p w:rsidR="0047001E" w:rsidRPr="007F09AF" w:rsidRDefault="0047001E" w:rsidP="007F09A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15C1E" w:rsidRPr="007F09AF" w:rsidTr="00653515">
        <w:trPr>
          <w:trHeight w:val="1702"/>
        </w:trPr>
        <w:tc>
          <w:tcPr>
            <w:tcW w:w="3803" w:type="dxa"/>
          </w:tcPr>
          <w:p w:rsidR="00215C1E" w:rsidRPr="007F09AF" w:rsidRDefault="00470FCE" w:rsidP="007F09AF">
            <w:pPr>
              <w:spacing w:line="276" w:lineRule="auto"/>
              <w:rPr>
                <w:sz w:val="28"/>
                <w:szCs w:val="28"/>
              </w:rPr>
            </w:pPr>
            <w:r w:rsidRPr="007F09AF">
              <w:rPr>
                <w:sz w:val="28"/>
                <w:szCs w:val="28"/>
              </w:rPr>
              <w:t>Предполагается ли компенсация А</w:t>
            </w:r>
            <w:r w:rsidR="00215C1E" w:rsidRPr="007F09AF">
              <w:rPr>
                <w:sz w:val="28"/>
                <w:szCs w:val="28"/>
              </w:rPr>
              <w:t xml:space="preserve">рендаторам дополнительных отделочных работ? Если да, то какова сумма и порядок компенсации </w:t>
            </w:r>
            <w:r w:rsidR="00F31240" w:rsidRPr="007F09AF">
              <w:rPr>
                <w:sz w:val="28"/>
                <w:szCs w:val="28"/>
              </w:rPr>
              <w:t>отделочных работ А</w:t>
            </w:r>
            <w:r w:rsidR="00215C1E" w:rsidRPr="007F09AF">
              <w:rPr>
                <w:sz w:val="28"/>
                <w:szCs w:val="28"/>
              </w:rPr>
              <w:t>рендаторам? Если нет, то допускается ли проведение этих работ са</w:t>
            </w:r>
            <w:r w:rsidR="00361252" w:rsidRPr="007F09AF">
              <w:rPr>
                <w:sz w:val="28"/>
                <w:szCs w:val="28"/>
              </w:rPr>
              <w:t xml:space="preserve">мостоятельно </w:t>
            </w:r>
            <w:r w:rsidR="000215E3" w:rsidRPr="007F09AF">
              <w:rPr>
                <w:sz w:val="28"/>
                <w:szCs w:val="28"/>
              </w:rPr>
              <w:t>А</w:t>
            </w:r>
            <w:r w:rsidR="00215C1E" w:rsidRPr="007F09AF">
              <w:rPr>
                <w:sz w:val="28"/>
                <w:szCs w:val="28"/>
              </w:rPr>
              <w:t>рендаторами (их подрядчиками)?</w:t>
            </w:r>
          </w:p>
        </w:tc>
        <w:tc>
          <w:tcPr>
            <w:tcW w:w="10906" w:type="dxa"/>
          </w:tcPr>
          <w:p w:rsidR="00215C1E" w:rsidRPr="007F09AF" w:rsidRDefault="000215E3" w:rsidP="007F09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9AF">
              <w:rPr>
                <w:rFonts w:ascii="Times New Roman" w:hAnsi="Times New Roman" w:cs="Times New Roman"/>
                <w:sz w:val="28"/>
                <w:szCs w:val="28"/>
              </w:rPr>
              <w:t>По согласованию с А</w:t>
            </w:r>
            <w:r w:rsidR="00215C1E" w:rsidRPr="007F09AF">
              <w:rPr>
                <w:rFonts w:ascii="Times New Roman" w:hAnsi="Times New Roman" w:cs="Times New Roman"/>
                <w:sz w:val="28"/>
                <w:szCs w:val="28"/>
              </w:rPr>
              <w:t>рендодателем</w:t>
            </w:r>
            <w:r w:rsidR="00B5347B" w:rsidRPr="007F09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09AF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r w:rsidR="00215C1E" w:rsidRPr="007F09AF">
              <w:rPr>
                <w:rFonts w:ascii="Times New Roman" w:hAnsi="Times New Roman" w:cs="Times New Roman"/>
                <w:sz w:val="28"/>
                <w:szCs w:val="28"/>
              </w:rPr>
              <w:t>рендаторы имеют право производить дополнительную отделку арендуемых помещений в соответствии со своим фи</w:t>
            </w:r>
            <w:r w:rsidR="000741AA" w:rsidRPr="007F09AF">
              <w:rPr>
                <w:rFonts w:ascii="Times New Roman" w:hAnsi="Times New Roman" w:cs="Times New Roman"/>
                <w:sz w:val="28"/>
                <w:szCs w:val="28"/>
              </w:rPr>
              <w:t>рменным стилем и корпоративными</w:t>
            </w:r>
            <w:r w:rsidR="00215C1E" w:rsidRPr="007F09AF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стандартами. Компенсация стоимости таких дополнительных о</w:t>
            </w:r>
            <w:r w:rsidR="00C7678C" w:rsidRPr="007F09AF">
              <w:rPr>
                <w:rFonts w:ascii="Times New Roman" w:hAnsi="Times New Roman" w:cs="Times New Roman"/>
                <w:sz w:val="28"/>
                <w:szCs w:val="28"/>
              </w:rPr>
              <w:t>тделочных работ не производится, но по согласованию с Арендодателем могут быть предоставлены «арендные каникулы» (за этот период оплачиваются только коммунальные платежи) на срок до 2-х месяцев.</w:t>
            </w:r>
            <w:r w:rsidR="00215C1E" w:rsidRPr="007F09A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проведение работ по отделке помещений </w:t>
            </w:r>
            <w:r w:rsidR="00566C6F" w:rsidRPr="007F09AF">
              <w:rPr>
                <w:rFonts w:ascii="Times New Roman" w:hAnsi="Times New Roman" w:cs="Times New Roman"/>
                <w:sz w:val="28"/>
                <w:szCs w:val="28"/>
              </w:rPr>
              <w:t>силами подрядчика, нанимаемого А</w:t>
            </w:r>
            <w:r w:rsidR="00215C1E" w:rsidRPr="007F09AF">
              <w:rPr>
                <w:rFonts w:ascii="Times New Roman" w:hAnsi="Times New Roman" w:cs="Times New Roman"/>
                <w:sz w:val="28"/>
                <w:szCs w:val="28"/>
              </w:rPr>
              <w:t>рендатором. План всех работ должен быть согласо</w:t>
            </w:r>
            <w:r w:rsidR="00566C6F" w:rsidRPr="007F09AF">
              <w:rPr>
                <w:rFonts w:ascii="Times New Roman" w:hAnsi="Times New Roman" w:cs="Times New Roman"/>
                <w:sz w:val="28"/>
                <w:szCs w:val="28"/>
              </w:rPr>
              <w:t>ван с А</w:t>
            </w:r>
            <w:r w:rsidR="00215C1E" w:rsidRPr="007F09AF">
              <w:rPr>
                <w:rFonts w:ascii="Times New Roman" w:hAnsi="Times New Roman" w:cs="Times New Roman"/>
                <w:sz w:val="28"/>
                <w:szCs w:val="28"/>
              </w:rPr>
              <w:t>рендодателем.</w:t>
            </w:r>
          </w:p>
          <w:p w:rsidR="00215C1E" w:rsidRPr="007F09AF" w:rsidRDefault="00215C1E" w:rsidP="007F09A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26FD" w:rsidRPr="007F09AF" w:rsidTr="00653515">
        <w:trPr>
          <w:trHeight w:val="279"/>
        </w:trPr>
        <w:tc>
          <w:tcPr>
            <w:tcW w:w="3803" w:type="dxa"/>
          </w:tcPr>
          <w:p w:rsidR="000F26FD" w:rsidRPr="007F09AF" w:rsidRDefault="000742E7" w:rsidP="007F09AF">
            <w:pPr>
              <w:spacing w:line="276" w:lineRule="auto"/>
              <w:rPr>
                <w:sz w:val="28"/>
                <w:szCs w:val="28"/>
              </w:rPr>
            </w:pPr>
            <w:r w:rsidRPr="007F09AF">
              <w:rPr>
                <w:sz w:val="28"/>
                <w:szCs w:val="28"/>
              </w:rPr>
              <w:t>Какие</w:t>
            </w:r>
            <w:r w:rsidR="00206D09" w:rsidRPr="007F09AF">
              <w:rPr>
                <w:sz w:val="28"/>
                <w:szCs w:val="28"/>
              </w:rPr>
              <w:t xml:space="preserve"> </w:t>
            </w:r>
            <w:r w:rsidR="000F26FD" w:rsidRPr="007F09AF">
              <w:rPr>
                <w:sz w:val="28"/>
                <w:szCs w:val="28"/>
              </w:rPr>
              <w:t>п</w:t>
            </w:r>
            <w:r w:rsidR="000215E3" w:rsidRPr="007F09AF">
              <w:rPr>
                <w:sz w:val="28"/>
                <w:szCs w:val="28"/>
              </w:rPr>
              <w:t xml:space="preserve">ерегородки </w:t>
            </w:r>
            <w:r w:rsidR="00206D09" w:rsidRPr="007F09AF">
              <w:rPr>
                <w:sz w:val="28"/>
                <w:szCs w:val="28"/>
              </w:rPr>
              <w:t xml:space="preserve">внутри помещения </w:t>
            </w:r>
            <w:r w:rsidR="000215E3" w:rsidRPr="007F09AF">
              <w:rPr>
                <w:sz w:val="28"/>
                <w:szCs w:val="28"/>
              </w:rPr>
              <w:t>можно устанавливать А</w:t>
            </w:r>
            <w:r w:rsidR="000F26FD" w:rsidRPr="007F09AF">
              <w:rPr>
                <w:sz w:val="28"/>
                <w:szCs w:val="28"/>
              </w:rPr>
              <w:t>рендаторам?</w:t>
            </w:r>
          </w:p>
        </w:tc>
        <w:tc>
          <w:tcPr>
            <w:tcW w:w="10906" w:type="dxa"/>
          </w:tcPr>
          <w:p w:rsidR="000F26FD" w:rsidRPr="007F09AF" w:rsidRDefault="00A52B25" w:rsidP="007F09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09AF">
              <w:rPr>
                <w:sz w:val="28"/>
                <w:szCs w:val="28"/>
              </w:rPr>
              <w:t>Арендодатель разрешает</w:t>
            </w:r>
            <w:r w:rsidR="000F26FD" w:rsidRPr="007F09AF">
              <w:rPr>
                <w:sz w:val="28"/>
                <w:szCs w:val="28"/>
              </w:rPr>
              <w:t xml:space="preserve"> устанавливать мобильные перегородки. Категорически запрещено устанавливать перегородки, связанные с «мокрыми» </w:t>
            </w:r>
            <w:r w:rsidR="005D6A38" w:rsidRPr="007F09AF">
              <w:rPr>
                <w:sz w:val="28"/>
                <w:szCs w:val="28"/>
              </w:rPr>
              <w:t>процессами (кладка, оштукатуривание)</w:t>
            </w:r>
            <w:r w:rsidR="000F26FD" w:rsidRPr="007F09AF">
              <w:rPr>
                <w:sz w:val="28"/>
                <w:szCs w:val="28"/>
              </w:rPr>
              <w:t xml:space="preserve"> и капитальные перегородки. Расположение перегородок необходимо согласовывать с </w:t>
            </w:r>
            <w:r w:rsidR="00FB471F" w:rsidRPr="007F09AF">
              <w:rPr>
                <w:sz w:val="28"/>
                <w:szCs w:val="28"/>
              </w:rPr>
              <w:t>Арендодателем</w:t>
            </w:r>
            <w:r w:rsidR="000F26FD" w:rsidRPr="007F09AF">
              <w:rPr>
                <w:sz w:val="28"/>
                <w:szCs w:val="28"/>
              </w:rPr>
              <w:t>.</w:t>
            </w:r>
          </w:p>
          <w:p w:rsidR="000F26FD" w:rsidRPr="007F09AF" w:rsidRDefault="000F26FD" w:rsidP="007F09A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F26FD" w:rsidRPr="007F09AF" w:rsidTr="00653515">
        <w:tc>
          <w:tcPr>
            <w:tcW w:w="3803" w:type="dxa"/>
          </w:tcPr>
          <w:p w:rsidR="00B86751" w:rsidRPr="007F09AF" w:rsidRDefault="000F26FD" w:rsidP="007F09AF">
            <w:pPr>
              <w:spacing w:line="276" w:lineRule="auto"/>
              <w:rPr>
                <w:sz w:val="28"/>
                <w:szCs w:val="28"/>
              </w:rPr>
            </w:pPr>
            <w:r w:rsidRPr="007F09AF">
              <w:rPr>
                <w:sz w:val="28"/>
                <w:szCs w:val="28"/>
              </w:rPr>
              <w:t xml:space="preserve">Есть ли отделка в </w:t>
            </w:r>
            <w:r w:rsidRPr="007F09AF">
              <w:rPr>
                <w:sz w:val="28"/>
                <w:szCs w:val="28"/>
              </w:rPr>
              <w:lastRenderedPageBreak/>
              <w:t xml:space="preserve">арендуемых площадях? </w:t>
            </w:r>
          </w:p>
        </w:tc>
        <w:tc>
          <w:tcPr>
            <w:tcW w:w="10906" w:type="dxa"/>
          </w:tcPr>
          <w:p w:rsidR="00DD53B3" w:rsidRPr="007F09AF" w:rsidRDefault="007F09AF" w:rsidP="007F09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0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A2485" w:rsidRPr="007F09AF">
              <w:rPr>
                <w:rFonts w:ascii="Times New Roman" w:hAnsi="Times New Roman" w:cs="Times New Roman"/>
                <w:sz w:val="28"/>
                <w:szCs w:val="28"/>
              </w:rPr>
              <w:t>омеще</w:t>
            </w:r>
            <w:r w:rsidRPr="007F09AF">
              <w:rPr>
                <w:rFonts w:ascii="Times New Roman" w:hAnsi="Times New Roman" w:cs="Times New Roman"/>
                <w:sz w:val="28"/>
                <w:szCs w:val="28"/>
              </w:rPr>
              <w:t xml:space="preserve">ния сдаются в аренду с отделкой. Уровень отделки и оснащенность помещения </w:t>
            </w:r>
            <w:r w:rsidRPr="007F0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варьируется исходя из назначения помещения. </w:t>
            </w:r>
          </w:p>
        </w:tc>
      </w:tr>
      <w:tr w:rsidR="00653515" w:rsidRPr="007F09AF" w:rsidTr="00653515">
        <w:tc>
          <w:tcPr>
            <w:tcW w:w="3803" w:type="dxa"/>
          </w:tcPr>
          <w:p w:rsidR="00653515" w:rsidRPr="007F09AF" w:rsidRDefault="009B61CC" w:rsidP="007F09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Какие дополнительные коммерческие услуги предоставляются на территории Академпарка?</w:t>
            </w:r>
          </w:p>
        </w:tc>
        <w:tc>
          <w:tcPr>
            <w:tcW w:w="10906" w:type="dxa"/>
          </w:tcPr>
          <w:p w:rsidR="00653515" w:rsidRPr="009B61CC" w:rsidRDefault="009B61CC" w:rsidP="007F09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1CC">
              <w:rPr>
                <w:rFonts w:ascii="Times New Roman" w:hAnsi="Times New Roman" w:cs="Times New Roman"/>
                <w:sz w:val="28"/>
                <w:szCs w:val="28"/>
              </w:rPr>
              <w:t>Аренда конференц-залов и холлов для проведения  различных мероприятий, таких как  семинары, форумы, конференции, выставки. Кроме того, в аренду сдается мебель и оборудование.  Есть возможность разместить рекламные материалы.  Арендаторы офисных помещений в Академпарке могут воспользоваться услугой аренды почтовой ячейки, где хранится корреспонденция.  На первых этажах зданий Академпарка представлена сувенирная продукция.</w:t>
            </w:r>
          </w:p>
        </w:tc>
      </w:tr>
      <w:tr w:rsidR="00653515" w:rsidRPr="007F09AF" w:rsidTr="00653515">
        <w:tc>
          <w:tcPr>
            <w:tcW w:w="3803" w:type="dxa"/>
          </w:tcPr>
          <w:p w:rsidR="009B61CC" w:rsidRDefault="009B61CC" w:rsidP="009B61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 дополнительные услуги для сотрудников (бытовые и др.) доступны  на территории Академпарка?</w:t>
            </w:r>
          </w:p>
          <w:p w:rsidR="00653515" w:rsidRPr="007F09AF" w:rsidRDefault="00653515" w:rsidP="007F09A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906" w:type="dxa"/>
          </w:tcPr>
          <w:p w:rsidR="00653515" w:rsidRPr="009B61CC" w:rsidRDefault="009B61CC" w:rsidP="007F09A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1CC">
              <w:rPr>
                <w:rFonts w:ascii="Times New Roman" w:hAnsi="Times New Roman" w:cs="Times New Roman"/>
                <w:sz w:val="28"/>
                <w:szCs w:val="28"/>
              </w:rPr>
              <w:t>На территории располагаются наземный и подземный паркинг, фитнес-зал, медицинская клиника, кофейни, бар, столовые, ресторан, банкетный зал.</w:t>
            </w:r>
          </w:p>
        </w:tc>
      </w:tr>
      <w:tr w:rsidR="000F26FD" w:rsidRPr="007F09AF" w:rsidTr="00653515">
        <w:tc>
          <w:tcPr>
            <w:tcW w:w="3803" w:type="dxa"/>
          </w:tcPr>
          <w:p w:rsidR="000F26FD" w:rsidRPr="007F09AF" w:rsidRDefault="000F26FD" w:rsidP="007F09AF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7F09AF">
              <w:rPr>
                <w:b w:val="0"/>
                <w:sz w:val="28"/>
                <w:szCs w:val="28"/>
                <w:lang w:val="ru-RU"/>
              </w:rPr>
              <w:t>Какова обеспеченность парковочными местами</w:t>
            </w:r>
            <w:r w:rsidR="002C0583">
              <w:rPr>
                <w:b w:val="0"/>
                <w:sz w:val="28"/>
                <w:szCs w:val="28"/>
                <w:lang w:val="ru-RU"/>
              </w:rPr>
              <w:t xml:space="preserve"> возле объектов Академпарка</w:t>
            </w:r>
            <w:r w:rsidRPr="007F09AF">
              <w:rPr>
                <w:b w:val="0"/>
                <w:sz w:val="28"/>
                <w:szCs w:val="28"/>
                <w:lang w:val="ru-RU"/>
              </w:rPr>
              <w:t>?</w:t>
            </w:r>
          </w:p>
          <w:p w:rsidR="000F26FD" w:rsidRPr="007F09AF" w:rsidRDefault="000F26FD" w:rsidP="007F09A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906" w:type="dxa"/>
          </w:tcPr>
          <w:p w:rsidR="000F26FD" w:rsidRPr="007F09AF" w:rsidRDefault="002C0583" w:rsidP="007F09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Академпарка </w:t>
            </w:r>
            <w:bookmarkStart w:id="0" w:name="_GoBack"/>
            <w:bookmarkEnd w:id="0"/>
            <w:r w:rsidR="00653515">
              <w:rPr>
                <w:sz w:val="28"/>
                <w:szCs w:val="28"/>
              </w:rPr>
              <w:t>организовано</w:t>
            </w:r>
            <w:r>
              <w:rPr>
                <w:sz w:val="28"/>
                <w:szCs w:val="28"/>
              </w:rPr>
              <w:t xml:space="preserve"> 429 наземных парковочных мест и 348 подземных парковочных мест. Парковки предоставляются на платной основе на основании отдельных договоров. Стоимость наземного парковочного места составляет 1.500 руб./месяц. Стоимость подземного парковочного места составляет 4.500-5.000 руб./месяц (в зависимости от расположения и размера места)   </w:t>
            </w:r>
          </w:p>
          <w:p w:rsidR="000F26FD" w:rsidRPr="007F09AF" w:rsidRDefault="000F26FD" w:rsidP="007F09A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F00A4" w:rsidRPr="007F09AF" w:rsidTr="00653515">
        <w:tc>
          <w:tcPr>
            <w:tcW w:w="3803" w:type="dxa"/>
          </w:tcPr>
          <w:p w:rsidR="00CF00A4" w:rsidRPr="007F09AF" w:rsidRDefault="00CF00A4" w:rsidP="007F09AF">
            <w:pPr>
              <w:spacing w:line="276" w:lineRule="auto"/>
              <w:rPr>
                <w:sz w:val="28"/>
                <w:szCs w:val="28"/>
              </w:rPr>
            </w:pPr>
            <w:r w:rsidRPr="007F09AF">
              <w:rPr>
                <w:sz w:val="28"/>
                <w:szCs w:val="28"/>
              </w:rPr>
              <w:t xml:space="preserve">Где можно </w:t>
            </w:r>
            <w:proofErr w:type="gramStart"/>
            <w:r w:rsidRPr="007F09AF">
              <w:rPr>
                <w:sz w:val="28"/>
                <w:szCs w:val="28"/>
              </w:rPr>
              <w:t>разместить информацию</w:t>
            </w:r>
            <w:proofErr w:type="gramEnd"/>
            <w:r w:rsidRPr="007F09AF">
              <w:rPr>
                <w:sz w:val="28"/>
                <w:szCs w:val="28"/>
              </w:rPr>
              <w:t xml:space="preserve"> о названии организации?</w:t>
            </w:r>
          </w:p>
        </w:tc>
        <w:tc>
          <w:tcPr>
            <w:tcW w:w="10906" w:type="dxa"/>
          </w:tcPr>
          <w:p w:rsidR="00CF00A4" w:rsidRPr="007F09AF" w:rsidRDefault="00CF00A4" w:rsidP="007F09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09AF">
              <w:rPr>
                <w:sz w:val="28"/>
                <w:szCs w:val="28"/>
              </w:rPr>
              <w:t xml:space="preserve">Информация с названиями организаций </w:t>
            </w:r>
            <w:r w:rsidR="000215E3" w:rsidRPr="007F09AF">
              <w:rPr>
                <w:sz w:val="28"/>
                <w:szCs w:val="28"/>
              </w:rPr>
              <w:t>размещаются на этажах А</w:t>
            </w:r>
            <w:r w:rsidRPr="007F09AF">
              <w:rPr>
                <w:sz w:val="28"/>
                <w:szCs w:val="28"/>
              </w:rPr>
              <w:t xml:space="preserve">рендаторов. Навигационные указатели предусмотрены на первом этаже здания. Также, перед зданием будет располагаться еще </w:t>
            </w:r>
            <w:r w:rsidR="00234590" w:rsidRPr="007F09AF">
              <w:rPr>
                <w:sz w:val="28"/>
                <w:szCs w:val="28"/>
              </w:rPr>
              <w:t>одна информационная витрина</w:t>
            </w:r>
            <w:r w:rsidRPr="007F09AF">
              <w:rPr>
                <w:sz w:val="28"/>
                <w:szCs w:val="28"/>
              </w:rPr>
              <w:t>. Наружное размещение указателей организации на фасадах здания не допускается.</w:t>
            </w:r>
          </w:p>
          <w:p w:rsidR="00CF00A4" w:rsidRPr="007F09AF" w:rsidRDefault="00CF00A4" w:rsidP="007F09A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F00A4" w:rsidRPr="007F09AF" w:rsidTr="00653515">
        <w:tc>
          <w:tcPr>
            <w:tcW w:w="3803" w:type="dxa"/>
          </w:tcPr>
          <w:p w:rsidR="00206D09" w:rsidRPr="007F09AF" w:rsidRDefault="0028223A" w:rsidP="007F09AF">
            <w:pPr>
              <w:shd w:val="clear" w:color="auto" w:fill="FFFFFF"/>
              <w:spacing w:before="60" w:after="60" w:line="276" w:lineRule="auto"/>
              <w:rPr>
                <w:color w:val="000000"/>
                <w:sz w:val="28"/>
                <w:szCs w:val="28"/>
              </w:rPr>
            </w:pPr>
            <w:hyperlink r:id="rId8" w:anchor="6" w:history="1">
              <w:r w:rsidR="00206D09" w:rsidRPr="007F09AF">
                <w:rPr>
                  <w:sz w:val="28"/>
                  <w:szCs w:val="28"/>
                </w:rPr>
                <w:t>Помещения сдаются с мебелью?</w:t>
              </w:r>
            </w:hyperlink>
          </w:p>
          <w:p w:rsidR="00CF00A4" w:rsidRPr="007F09AF" w:rsidRDefault="00CF00A4" w:rsidP="007F09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06" w:type="dxa"/>
          </w:tcPr>
          <w:p w:rsidR="00CF00A4" w:rsidRPr="007F09AF" w:rsidRDefault="002C0583" w:rsidP="007F09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помещения предоставляется без мебели, но на основании отдельного договора мебель так же может быть предоставлена в аренду</w:t>
            </w:r>
          </w:p>
        </w:tc>
      </w:tr>
      <w:tr w:rsidR="00CF00A4" w:rsidRPr="007F09AF" w:rsidTr="00653515">
        <w:tc>
          <w:tcPr>
            <w:tcW w:w="3803" w:type="dxa"/>
          </w:tcPr>
          <w:p w:rsidR="00CF00A4" w:rsidRPr="007F09AF" w:rsidRDefault="00653515" w:rsidP="006535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09AF">
              <w:rPr>
                <w:sz w:val="28"/>
                <w:szCs w:val="28"/>
              </w:rPr>
              <w:t xml:space="preserve">Как обеспечивается общая </w:t>
            </w:r>
            <w:r w:rsidRPr="007F09AF">
              <w:rPr>
                <w:sz w:val="28"/>
                <w:szCs w:val="28"/>
              </w:rPr>
              <w:lastRenderedPageBreak/>
              <w:t>безопасность сотрудников?</w:t>
            </w:r>
          </w:p>
        </w:tc>
        <w:tc>
          <w:tcPr>
            <w:tcW w:w="10906" w:type="dxa"/>
          </w:tcPr>
          <w:p w:rsidR="00CF00A4" w:rsidRPr="007F09AF" w:rsidRDefault="00653515" w:rsidP="007F09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09AF">
              <w:rPr>
                <w:sz w:val="28"/>
                <w:szCs w:val="28"/>
              </w:rPr>
              <w:lastRenderedPageBreak/>
              <w:t xml:space="preserve">В комплексе здании предусмотрены посты охраны на первом этаже, а также Система </w:t>
            </w:r>
            <w:r w:rsidRPr="007F09AF">
              <w:rPr>
                <w:sz w:val="28"/>
                <w:szCs w:val="28"/>
              </w:rPr>
              <w:lastRenderedPageBreak/>
              <w:t>Контроля и Управления Доступом, охранная сигнализация и система видеонаблюдения (порядка 200 видеокамер).</w:t>
            </w:r>
          </w:p>
        </w:tc>
      </w:tr>
      <w:tr w:rsidR="00CF00A4" w:rsidRPr="007F09AF" w:rsidTr="00653515">
        <w:tc>
          <w:tcPr>
            <w:tcW w:w="3803" w:type="dxa"/>
          </w:tcPr>
          <w:p w:rsidR="00653515" w:rsidRPr="007F09AF" w:rsidRDefault="00653515" w:rsidP="006535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09AF">
              <w:rPr>
                <w:sz w:val="28"/>
                <w:szCs w:val="28"/>
              </w:rPr>
              <w:lastRenderedPageBreak/>
              <w:t>Возможен ли компьютерный учет времени пребывания сотрудников в офисе?</w:t>
            </w:r>
          </w:p>
          <w:p w:rsidR="00CF00A4" w:rsidRPr="007F09AF" w:rsidRDefault="00CF00A4" w:rsidP="007F09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06" w:type="dxa"/>
          </w:tcPr>
          <w:p w:rsidR="00CF00A4" w:rsidRPr="007F09AF" w:rsidRDefault="00653515" w:rsidP="007F09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09AF">
              <w:rPr>
                <w:sz w:val="28"/>
                <w:szCs w:val="28"/>
              </w:rPr>
              <w:t xml:space="preserve">Да, </w:t>
            </w:r>
            <w:proofErr w:type="gramStart"/>
            <w:r w:rsidRPr="007F09AF">
              <w:rPr>
                <w:sz w:val="28"/>
                <w:szCs w:val="28"/>
              </w:rPr>
              <w:t>возможен</w:t>
            </w:r>
            <w:proofErr w:type="gramEnd"/>
            <w:r w:rsidRPr="007F09AF">
              <w:rPr>
                <w:sz w:val="28"/>
                <w:szCs w:val="28"/>
              </w:rPr>
              <w:t xml:space="preserve"> в рамках отчетов Системы Контроля и Управления Доступом, предусмотренной в здании.</w:t>
            </w:r>
          </w:p>
          <w:p w:rsidR="00CF00A4" w:rsidRPr="007F09AF" w:rsidRDefault="00CF00A4" w:rsidP="007F09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0A4" w:rsidRPr="007F09AF" w:rsidTr="00653515">
        <w:tc>
          <w:tcPr>
            <w:tcW w:w="3803" w:type="dxa"/>
          </w:tcPr>
          <w:p w:rsidR="00CF00A4" w:rsidRPr="007F09AF" w:rsidRDefault="00CF00A4" w:rsidP="007F09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09AF">
              <w:rPr>
                <w:sz w:val="28"/>
                <w:szCs w:val="28"/>
              </w:rPr>
              <w:t>Какова максимальная нагрузка на межэтажные перекрытия?</w:t>
            </w:r>
          </w:p>
          <w:p w:rsidR="00CF00A4" w:rsidRPr="007F09AF" w:rsidRDefault="00CF00A4" w:rsidP="007F09AF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06" w:type="dxa"/>
          </w:tcPr>
          <w:p w:rsidR="00CF00A4" w:rsidRPr="007F09AF" w:rsidRDefault="00CF00A4" w:rsidP="007F09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09AF">
              <w:rPr>
                <w:sz w:val="28"/>
                <w:szCs w:val="28"/>
              </w:rPr>
              <w:t>Расчетная нагрузка на перекрытия</w:t>
            </w:r>
            <w:r w:rsidR="00206D09" w:rsidRPr="007F09AF">
              <w:rPr>
                <w:sz w:val="28"/>
                <w:szCs w:val="28"/>
              </w:rPr>
              <w:t xml:space="preserve"> в офисных помещениях</w:t>
            </w:r>
            <w:r w:rsidRPr="007F09AF">
              <w:rPr>
                <w:sz w:val="28"/>
                <w:szCs w:val="28"/>
              </w:rPr>
              <w:t xml:space="preserve"> 240кг/м</w:t>
            </w:r>
            <w:proofErr w:type="gramStart"/>
            <w:r w:rsidRPr="007F09AF">
              <w:rPr>
                <w:sz w:val="28"/>
                <w:szCs w:val="28"/>
              </w:rPr>
              <w:t>2</w:t>
            </w:r>
            <w:proofErr w:type="gramEnd"/>
            <w:r w:rsidR="00206D09" w:rsidRPr="007F09AF">
              <w:rPr>
                <w:sz w:val="28"/>
                <w:szCs w:val="28"/>
              </w:rPr>
              <w:t>, в производственных 750 кг/м2</w:t>
            </w:r>
            <w:r w:rsidRPr="007F09AF">
              <w:rPr>
                <w:sz w:val="28"/>
                <w:szCs w:val="28"/>
              </w:rPr>
              <w:t>. Возможно локальное увеличение нагрузки по согласованию с проектной организацией.</w:t>
            </w:r>
          </w:p>
          <w:p w:rsidR="00CF00A4" w:rsidRPr="007F09AF" w:rsidRDefault="00CF00A4" w:rsidP="007F09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A57E8" w:rsidRPr="007F09AF" w:rsidRDefault="000A57E8" w:rsidP="007F09AF">
      <w:pPr>
        <w:spacing w:line="276" w:lineRule="auto"/>
        <w:rPr>
          <w:b/>
          <w:sz w:val="28"/>
          <w:szCs w:val="28"/>
        </w:rPr>
      </w:pPr>
    </w:p>
    <w:sectPr w:rsidR="000A57E8" w:rsidRPr="007F09AF" w:rsidSect="003E36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78DF"/>
    <w:multiLevelType w:val="hybridMultilevel"/>
    <w:tmpl w:val="AA284776"/>
    <w:lvl w:ilvl="0" w:tplc="FBB8458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F9814C4"/>
    <w:multiLevelType w:val="hybridMultilevel"/>
    <w:tmpl w:val="C9204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0D484F"/>
    <w:multiLevelType w:val="hybridMultilevel"/>
    <w:tmpl w:val="AA284776"/>
    <w:lvl w:ilvl="0" w:tplc="FBB8458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4265826"/>
    <w:multiLevelType w:val="hybridMultilevel"/>
    <w:tmpl w:val="A6C67F8C"/>
    <w:lvl w:ilvl="0" w:tplc="D548AD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16C3C"/>
    <w:multiLevelType w:val="hybridMultilevel"/>
    <w:tmpl w:val="AA284776"/>
    <w:lvl w:ilvl="0" w:tplc="FBB8458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E9F25B2"/>
    <w:multiLevelType w:val="hybridMultilevel"/>
    <w:tmpl w:val="AA284776"/>
    <w:lvl w:ilvl="0" w:tplc="FBB8458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22B1C7F"/>
    <w:multiLevelType w:val="hybridMultilevel"/>
    <w:tmpl w:val="AA284776"/>
    <w:lvl w:ilvl="0" w:tplc="FBB8458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890790D"/>
    <w:multiLevelType w:val="multilevel"/>
    <w:tmpl w:val="707CC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86B41"/>
    <w:multiLevelType w:val="hybridMultilevel"/>
    <w:tmpl w:val="AA284776"/>
    <w:lvl w:ilvl="0" w:tplc="FBB8458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3582BA3"/>
    <w:multiLevelType w:val="hybridMultilevel"/>
    <w:tmpl w:val="AA284776"/>
    <w:lvl w:ilvl="0" w:tplc="FBB8458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EA77329"/>
    <w:multiLevelType w:val="hybridMultilevel"/>
    <w:tmpl w:val="26DA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B4037"/>
    <w:multiLevelType w:val="hybridMultilevel"/>
    <w:tmpl w:val="C9AE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A50A8"/>
    <w:multiLevelType w:val="hybridMultilevel"/>
    <w:tmpl w:val="DDC8FEFA"/>
    <w:lvl w:ilvl="0" w:tplc="4092845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23E0540"/>
    <w:multiLevelType w:val="hybridMultilevel"/>
    <w:tmpl w:val="526A3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47720"/>
    <w:multiLevelType w:val="hybridMultilevel"/>
    <w:tmpl w:val="AA284776"/>
    <w:lvl w:ilvl="0" w:tplc="FBB8458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B9F4B2B"/>
    <w:multiLevelType w:val="hybridMultilevel"/>
    <w:tmpl w:val="30881CB6"/>
    <w:lvl w:ilvl="0" w:tplc="451A5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F2D59"/>
    <w:multiLevelType w:val="hybridMultilevel"/>
    <w:tmpl w:val="AA284776"/>
    <w:lvl w:ilvl="0" w:tplc="FBB8458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4"/>
  </w:num>
  <w:num w:numId="8">
    <w:abstractNumId w:val="2"/>
  </w:num>
  <w:num w:numId="9">
    <w:abstractNumId w:val="9"/>
  </w:num>
  <w:num w:numId="10">
    <w:abstractNumId w:val="0"/>
  </w:num>
  <w:num w:numId="11">
    <w:abstractNumId w:val="16"/>
  </w:num>
  <w:num w:numId="12">
    <w:abstractNumId w:val="6"/>
  </w:num>
  <w:num w:numId="13">
    <w:abstractNumId w:val="13"/>
  </w:num>
  <w:num w:numId="14">
    <w:abstractNumId w:val="15"/>
  </w:num>
  <w:num w:numId="15">
    <w:abstractNumId w:val="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D9"/>
    <w:rsid w:val="000053FE"/>
    <w:rsid w:val="00012446"/>
    <w:rsid w:val="00014A86"/>
    <w:rsid w:val="000215E3"/>
    <w:rsid w:val="00042E54"/>
    <w:rsid w:val="00066E3F"/>
    <w:rsid w:val="00070BE9"/>
    <w:rsid w:val="000741AA"/>
    <w:rsid w:val="000742E7"/>
    <w:rsid w:val="00093D71"/>
    <w:rsid w:val="000A57E8"/>
    <w:rsid w:val="000B3276"/>
    <w:rsid w:val="000C5839"/>
    <w:rsid w:val="000E3321"/>
    <w:rsid w:val="000E4272"/>
    <w:rsid w:val="000F26FD"/>
    <w:rsid w:val="00164E0F"/>
    <w:rsid w:val="001659FF"/>
    <w:rsid w:val="001B02E9"/>
    <w:rsid w:val="001E006D"/>
    <w:rsid w:val="00201F1A"/>
    <w:rsid w:val="0020433F"/>
    <w:rsid w:val="00206D09"/>
    <w:rsid w:val="00215C1E"/>
    <w:rsid w:val="0022350B"/>
    <w:rsid w:val="00234590"/>
    <w:rsid w:val="0024368E"/>
    <w:rsid w:val="00255D45"/>
    <w:rsid w:val="00256736"/>
    <w:rsid w:val="00272961"/>
    <w:rsid w:val="00272B8D"/>
    <w:rsid w:val="00274EA6"/>
    <w:rsid w:val="00276868"/>
    <w:rsid w:val="0028223A"/>
    <w:rsid w:val="002A0DBD"/>
    <w:rsid w:val="002A2485"/>
    <w:rsid w:val="002A3F57"/>
    <w:rsid w:val="002B159A"/>
    <w:rsid w:val="002B1818"/>
    <w:rsid w:val="002B6A1F"/>
    <w:rsid w:val="002C03AB"/>
    <w:rsid w:val="002C0583"/>
    <w:rsid w:val="002D50BE"/>
    <w:rsid w:val="002E29B2"/>
    <w:rsid w:val="002E5E9C"/>
    <w:rsid w:val="002F39F0"/>
    <w:rsid w:val="00302215"/>
    <w:rsid w:val="003045FF"/>
    <w:rsid w:val="00307BF4"/>
    <w:rsid w:val="00321A10"/>
    <w:rsid w:val="0034729C"/>
    <w:rsid w:val="00353B42"/>
    <w:rsid w:val="00361252"/>
    <w:rsid w:val="00361CD6"/>
    <w:rsid w:val="003A3F61"/>
    <w:rsid w:val="003A6F21"/>
    <w:rsid w:val="003B644F"/>
    <w:rsid w:val="003C0E51"/>
    <w:rsid w:val="003C1AB3"/>
    <w:rsid w:val="003D1E91"/>
    <w:rsid w:val="003E361E"/>
    <w:rsid w:val="003F20FE"/>
    <w:rsid w:val="004409D0"/>
    <w:rsid w:val="00441E64"/>
    <w:rsid w:val="0044478A"/>
    <w:rsid w:val="0047001E"/>
    <w:rsid w:val="00470FCE"/>
    <w:rsid w:val="004B0174"/>
    <w:rsid w:val="004B1233"/>
    <w:rsid w:val="004B4FFC"/>
    <w:rsid w:val="004C5112"/>
    <w:rsid w:val="004D214D"/>
    <w:rsid w:val="004E204A"/>
    <w:rsid w:val="004F665E"/>
    <w:rsid w:val="004F7E35"/>
    <w:rsid w:val="00505C2D"/>
    <w:rsid w:val="00517B31"/>
    <w:rsid w:val="00525239"/>
    <w:rsid w:val="00526512"/>
    <w:rsid w:val="0055624B"/>
    <w:rsid w:val="005618CD"/>
    <w:rsid w:val="00566C6F"/>
    <w:rsid w:val="005961F8"/>
    <w:rsid w:val="00597708"/>
    <w:rsid w:val="005A04D8"/>
    <w:rsid w:val="005A5F96"/>
    <w:rsid w:val="005B14C1"/>
    <w:rsid w:val="005B4FE6"/>
    <w:rsid w:val="005B54D9"/>
    <w:rsid w:val="005C1440"/>
    <w:rsid w:val="005C24B8"/>
    <w:rsid w:val="005C2F3D"/>
    <w:rsid w:val="005C7425"/>
    <w:rsid w:val="005D6A38"/>
    <w:rsid w:val="005E0ACB"/>
    <w:rsid w:val="005E17B6"/>
    <w:rsid w:val="005F036A"/>
    <w:rsid w:val="0061402E"/>
    <w:rsid w:val="00621AD6"/>
    <w:rsid w:val="00624D9A"/>
    <w:rsid w:val="006329E6"/>
    <w:rsid w:val="00653515"/>
    <w:rsid w:val="00657CED"/>
    <w:rsid w:val="006901C9"/>
    <w:rsid w:val="00697811"/>
    <w:rsid w:val="006E3669"/>
    <w:rsid w:val="006F1F25"/>
    <w:rsid w:val="0070468E"/>
    <w:rsid w:val="00704E49"/>
    <w:rsid w:val="007063DE"/>
    <w:rsid w:val="00707605"/>
    <w:rsid w:val="0071183B"/>
    <w:rsid w:val="00713B1D"/>
    <w:rsid w:val="0071473F"/>
    <w:rsid w:val="007422E5"/>
    <w:rsid w:val="00744C9E"/>
    <w:rsid w:val="00744DE6"/>
    <w:rsid w:val="00744E56"/>
    <w:rsid w:val="00760AD7"/>
    <w:rsid w:val="00762731"/>
    <w:rsid w:val="00763BC5"/>
    <w:rsid w:val="00776A23"/>
    <w:rsid w:val="00782DAB"/>
    <w:rsid w:val="00792FDA"/>
    <w:rsid w:val="007B6F53"/>
    <w:rsid w:val="007D3807"/>
    <w:rsid w:val="007F09AF"/>
    <w:rsid w:val="007F3558"/>
    <w:rsid w:val="00814542"/>
    <w:rsid w:val="008179D6"/>
    <w:rsid w:val="008242F1"/>
    <w:rsid w:val="008245C9"/>
    <w:rsid w:val="0082507E"/>
    <w:rsid w:val="00833A5E"/>
    <w:rsid w:val="00841F74"/>
    <w:rsid w:val="008570D2"/>
    <w:rsid w:val="00880F50"/>
    <w:rsid w:val="00883264"/>
    <w:rsid w:val="00890BAD"/>
    <w:rsid w:val="008A5986"/>
    <w:rsid w:val="008C0DE7"/>
    <w:rsid w:val="008D3475"/>
    <w:rsid w:val="008E3371"/>
    <w:rsid w:val="008F23A1"/>
    <w:rsid w:val="009177A7"/>
    <w:rsid w:val="00935164"/>
    <w:rsid w:val="00953003"/>
    <w:rsid w:val="009739B0"/>
    <w:rsid w:val="009945DD"/>
    <w:rsid w:val="00995920"/>
    <w:rsid w:val="009A1259"/>
    <w:rsid w:val="009A15DC"/>
    <w:rsid w:val="009B61CC"/>
    <w:rsid w:val="009C3901"/>
    <w:rsid w:val="009D6C46"/>
    <w:rsid w:val="009E4637"/>
    <w:rsid w:val="009F62D9"/>
    <w:rsid w:val="00A23E6D"/>
    <w:rsid w:val="00A37E4D"/>
    <w:rsid w:val="00A45FA2"/>
    <w:rsid w:val="00A528B1"/>
    <w:rsid w:val="00A52B25"/>
    <w:rsid w:val="00A841F9"/>
    <w:rsid w:val="00A847DF"/>
    <w:rsid w:val="00A95CBD"/>
    <w:rsid w:val="00AA3483"/>
    <w:rsid w:val="00AB3989"/>
    <w:rsid w:val="00AD41D1"/>
    <w:rsid w:val="00AD5BF4"/>
    <w:rsid w:val="00AE58CC"/>
    <w:rsid w:val="00AF01F9"/>
    <w:rsid w:val="00AF266D"/>
    <w:rsid w:val="00B024CF"/>
    <w:rsid w:val="00B05560"/>
    <w:rsid w:val="00B07F4D"/>
    <w:rsid w:val="00B172FD"/>
    <w:rsid w:val="00B327C8"/>
    <w:rsid w:val="00B36184"/>
    <w:rsid w:val="00B478C6"/>
    <w:rsid w:val="00B51E9F"/>
    <w:rsid w:val="00B5347B"/>
    <w:rsid w:val="00B724E1"/>
    <w:rsid w:val="00B86751"/>
    <w:rsid w:val="00B94769"/>
    <w:rsid w:val="00BC1896"/>
    <w:rsid w:val="00BC41EE"/>
    <w:rsid w:val="00BD0334"/>
    <w:rsid w:val="00BD0D97"/>
    <w:rsid w:val="00C01511"/>
    <w:rsid w:val="00C10A9B"/>
    <w:rsid w:val="00C149D9"/>
    <w:rsid w:val="00C45651"/>
    <w:rsid w:val="00C4652C"/>
    <w:rsid w:val="00C525F7"/>
    <w:rsid w:val="00C5697C"/>
    <w:rsid w:val="00C7678C"/>
    <w:rsid w:val="00CA436F"/>
    <w:rsid w:val="00CA4C85"/>
    <w:rsid w:val="00CB22E7"/>
    <w:rsid w:val="00CD069F"/>
    <w:rsid w:val="00CE0CAC"/>
    <w:rsid w:val="00CE1D14"/>
    <w:rsid w:val="00CF00A4"/>
    <w:rsid w:val="00CF19BE"/>
    <w:rsid w:val="00CF667D"/>
    <w:rsid w:val="00CF7E4B"/>
    <w:rsid w:val="00D00787"/>
    <w:rsid w:val="00D177F5"/>
    <w:rsid w:val="00D27F57"/>
    <w:rsid w:val="00D34309"/>
    <w:rsid w:val="00D3697E"/>
    <w:rsid w:val="00D567A5"/>
    <w:rsid w:val="00D57425"/>
    <w:rsid w:val="00D93BF4"/>
    <w:rsid w:val="00DD53B3"/>
    <w:rsid w:val="00DE449D"/>
    <w:rsid w:val="00DE664D"/>
    <w:rsid w:val="00DF385A"/>
    <w:rsid w:val="00DF641B"/>
    <w:rsid w:val="00E010F8"/>
    <w:rsid w:val="00E078EF"/>
    <w:rsid w:val="00E23F8C"/>
    <w:rsid w:val="00E263BD"/>
    <w:rsid w:val="00E340F5"/>
    <w:rsid w:val="00E44720"/>
    <w:rsid w:val="00E67EB7"/>
    <w:rsid w:val="00E7405E"/>
    <w:rsid w:val="00E81D77"/>
    <w:rsid w:val="00E823AA"/>
    <w:rsid w:val="00E94CD0"/>
    <w:rsid w:val="00EA127A"/>
    <w:rsid w:val="00ED4DC8"/>
    <w:rsid w:val="00ED5070"/>
    <w:rsid w:val="00F018E9"/>
    <w:rsid w:val="00F11D64"/>
    <w:rsid w:val="00F20449"/>
    <w:rsid w:val="00F24E90"/>
    <w:rsid w:val="00F301AA"/>
    <w:rsid w:val="00F31240"/>
    <w:rsid w:val="00F4174A"/>
    <w:rsid w:val="00F520EC"/>
    <w:rsid w:val="00F57F78"/>
    <w:rsid w:val="00F6788A"/>
    <w:rsid w:val="00F742D9"/>
    <w:rsid w:val="00F81EF2"/>
    <w:rsid w:val="00F86E6E"/>
    <w:rsid w:val="00FA2B26"/>
    <w:rsid w:val="00FA7639"/>
    <w:rsid w:val="00FB02A3"/>
    <w:rsid w:val="00FB471F"/>
    <w:rsid w:val="00FC0535"/>
    <w:rsid w:val="00FD5079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42D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5">
    <w:name w:val="header"/>
    <w:basedOn w:val="a"/>
    <w:link w:val="a6"/>
    <w:unhideWhenUsed/>
    <w:rsid w:val="00F742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F742D9"/>
  </w:style>
  <w:style w:type="table" w:styleId="a7">
    <w:name w:val="Light Shading"/>
    <w:basedOn w:val="a1"/>
    <w:uiPriority w:val="60"/>
    <w:rsid w:val="00F742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7076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3F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F6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C7678C"/>
    <w:rPr>
      <w:color w:val="0000FF"/>
      <w:u w:val="single"/>
    </w:rPr>
  </w:style>
  <w:style w:type="character" w:styleId="ac">
    <w:name w:val="Subtle Emphasis"/>
    <w:basedOn w:val="a0"/>
    <w:uiPriority w:val="19"/>
    <w:qFormat/>
    <w:rsid w:val="0065351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42D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5">
    <w:name w:val="header"/>
    <w:basedOn w:val="a"/>
    <w:link w:val="a6"/>
    <w:unhideWhenUsed/>
    <w:rsid w:val="00F742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F742D9"/>
  </w:style>
  <w:style w:type="table" w:styleId="a7">
    <w:name w:val="Light Shading"/>
    <w:basedOn w:val="a1"/>
    <w:uiPriority w:val="60"/>
    <w:rsid w:val="00F742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7076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3F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F6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C7678C"/>
    <w:rPr>
      <w:color w:val="0000FF"/>
      <w:u w:val="single"/>
    </w:rPr>
  </w:style>
  <w:style w:type="character" w:styleId="ac">
    <w:name w:val="Subtle Emphasis"/>
    <w:basedOn w:val="a0"/>
    <w:uiPriority w:val="19"/>
    <w:qFormat/>
    <w:rsid w:val="0065351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office.ru/faqr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cooffice.ru/faq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office.ru/faqr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4817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 Вячеслав Сергеевич</dc:creator>
  <cp:lastModifiedBy>Николаенко Александр Леонидович</cp:lastModifiedBy>
  <cp:revision>2</cp:revision>
  <cp:lastPrinted>2011-07-21T12:44:00Z</cp:lastPrinted>
  <dcterms:created xsi:type="dcterms:W3CDTF">2018-04-16T09:38:00Z</dcterms:created>
  <dcterms:modified xsi:type="dcterms:W3CDTF">2018-04-16T09:38:00Z</dcterms:modified>
</cp:coreProperties>
</file>